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5EBD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1、将原竞争性磋商公告  项目概况“并于2026年06月25日09点30分（北京时间）前提交响应文件。”更正为“并于2026年06月30日09点30分（北京时间）前提交响应文件。”</w:t>
      </w:r>
    </w:p>
    <w:p w14:paraId="29D75D2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2、将原竞争性磋商公告  四、响应文件提交“1.开始时间：2026年06月25日09点00分（北京时间）2.截止时间：2026年06月25日09点30分（北京时间）”更正为“1.开始时间:2026年06月30日09点00分(北京时间)2.截止时间:2026年06月30日09点30分(北京时间)”</w:t>
      </w:r>
    </w:p>
    <w:p w14:paraId="65773E6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3、将原竞争性磋商公告  五、开启“1.时间:2026年06月25日09点30分(北京时间)”更正为“1.时间:2026年06月30日09点30分(北京时间)”</w:t>
      </w:r>
    </w:p>
    <w:p w14:paraId="6F33891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4、在原竞争性磋商文件</w:t>
      </w:r>
      <w:bookmarkStart w:id="0" w:name="_Toc29911"/>
      <w:r>
        <w:rPr>
          <w:rFonts w:hint="eastAsia" w:ascii="仿宋" w:hAnsi="仿宋" w:eastAsia="仿宋" w:cs="仿宋"/>
          <w:sz w:val="24"/>
          <w:szCs w:val="24"/>
          <w:lang w:val="en-US" w:eastAsia="zh-CN"/>
        </w:rPr>
        <w:t>第三章  项目采购需求</w:t>
      </w:r>
      <w:bookmarkEnd w:id="0"/>
      <w:r>
        <w:rPr>
          <w:rFonts w:hint="eastAsia" w:ascii="仿宋" w:hAnsi="仿宋" w:eastAsia="仿宋" w:cs="仿宋"/>
          <w:sz w:val="24"/>
          <w:szCs w:val="24"/>
          <w:lang w:val="en-US" w:eastAsia="zh-CN"/>
        </w:rPr>
        <w:t>一、项目概况中增加“4.预计工作量：</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6"/>
        <w:gridCol w:w="2094"/>
        <w:gridCol w:w="1847"/>
      </w:tblGrid>
      <w:tr w14:paraId="708E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5643F2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档案门类</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785D7B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530718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r>
      <w:tr w14:paraId="0454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6D36D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文书档案</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1ED33D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60B65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r>
      <w:tr w14:paraId="1B03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35C11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会计档案</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148695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309DC7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r>
      <w:tr w14:paraId="7F9D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71CDA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照片档案</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5A3FB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4E936A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r w14:paraId="67F4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553052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电子档案</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274EC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3B36E9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r>
      <w:tr w14:paraId="6274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4BCA73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专业档案</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7EB34A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504462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r>
      <w:tr w14:paraId="3F39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386E79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实物档案</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4102A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760221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390C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31199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科技档案</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6EB79F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4E1E74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r>
      <w:tr w14:paraId="75E2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6CEC8F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资料整理(检索目录)</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3207A6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73AEC3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r>
      <w:tr w14:paraId="79F5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3F05F0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条目录入</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3B12C1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4873E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r>
      <w:tr w14:paraId="43E6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48904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盒脊打印</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70A3F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50913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r>
      <w:tr w14:paraId="64A1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2F97A5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装订装盒</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6C3BFA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08382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r>
      <w:tr w14:paraId="4CD2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1433F9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档案数字化加工(扫描)</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43EF5B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幅</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6438D3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15000</w:t>
            </w:r>
          </w:p>
        </w:tc>
      </w:tr>
      <w:tr w14:paraId="14D8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86" w:type="pct"/>
            <w:tcBorders>
              <w:top w:val="single" w:color="000000" w:sz="4" w:space="0"/>
              <w:left w:val="single" w:color="000000" w:sz="4" w:space="0"/>
              <w:bottom w:val="single" w:color="000000" w:sz="4" w:space="0"/>
              <w:right w:val="single" w:color="000000" w:sz="4" w:space="0"/>
            </w:tcBorders>
            <w:noWrap w:val="0"/>
            <w:vAlign w:val="center"/>
          </w:tcPr>
          <w:p w14:paraId="06ED57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完成省一级及复查换证档案综合材料准备</w:t>
            </w:r>
          </w:p>
        </w:tc>
        <w:tc>
          <w:tcPr>
            <w:tcW w:w="1229" w:type="pct"/>
            <w:tcBorders>
              <w:top w:val="single" w:color="000000" w:sz="4" w:space="0"/>
              <w:left w:val="single" w:color="000000" w:sz="4" w:space="0"/>
              <w:bottom w:val="single" w:color="000000" w:sz="4" w:space="0"/>
              <w:right w:val="single" w:color="000000" w:sz="4" w:space="0"/>
            </w:tcBorders>
            <w:noWrap w:val="0"/>
            <w:vAlign w:val="center"/>
          </w:tcPr>
          <w:p w14:paraId="17EB3C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4" w:type="pct"/>
            <w:tcBorders>
              <w:top w:val="single" w:color="000000" w:sz="4" w:space="0"/>
              <w:left w:val="single" w:color="000000" w:sz="4" w:space="0"/>
              <w:bottom w:val="single" w:color="000000" w:sz="4" w:space="0"/>
              <w:right w:val="single" w:color="000000" w:sz="4" w:space="0"/>
            </w:tcBorders>
            <w:noWrap w:val="0"/>
            <w:vAlign w:val="center"/>
          </w:tcPr>
          <w:p w14:paraId="639B8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14:paraId="05411E9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cs="仿宋"/>
          <w:sz w:val="24"/>
          <w:szCs w:val="24"/>
          <w:lang w:val="en-US" w:eastAsia="zh-CN"/>
        </w:rPr>
      </w:pPr>
      <w:r>
        <w:rPr>
          <w:rFonts w:hint="default" w:ascii="仿宋" w:hAnsi="仿宋" w:eastAsia="仿宋" w:cs="仿宋"/>
          <w:color w:val="auto"/>
          <w:sz w:val="24"/>
          <w:szCs w:val="24"/>
          <w:lang w:val="en-US" w:eastAsia="zh-CN"/>
        </w:rPr>
        <w:t>注</w:t>
      </w:r>
      <w:r>
        <w:rPr>
          <w:rFonts w:hint="eastAsia" w:ascii="仿宋" w:hAnsi="仿宋" w:eastAsia="仿宋" w:cs="仿宋"/>
          <w:color w:val="auto"/>
          <w:sz w:val="24"/>
          <w:szCs w:val="24"/>
          <w:lang w:val="en-US" w:eastAsia="zh-CN"/>
        </w:rPr>
        <w:t>：</w:t>
      </w:r>
      <w:r>
        <w:rPr>
          <w:rFonts w:hint="default" w:ascii="仿宋" w:hAnsi="仿宋" w:eastAsia="仿宋" w:cs="仿宋"/>
          <w:color w:val="auto"/>
          <w:sz w:val="24"/>
          <w:szCs w:val="24"/>
          <w:lang w:val="en-US" w:eastAsia="zh-CN"/>
        </w:rPr>
        <w:t>上表中各项数量为预估值，待完成全部服务内容并经验收合格后，按各项</w:t>
      </w:r>
      <w:r>
        <w:rPr>
          <w:rFonts w:hint="eastAsia" w:ascii="仿宋" w:hAnsi="仿宋" w:eastAsia="仿宋" w:cs="仿宋"/>
          <w:color w:val="auto"/>
          <w:sz w:val="24"/>
          <w:szCs w:val="24"/>
          <w:lang w:val="en-US" w:eastAsia="zh-CN"/>
        </w:rPr>
        <w:t>成交</w:t>
      </w:r>
      <w:r>
        <w:rPr>
          <w:rFonts w:hint="default" w:ascii="仿宋" w:hAnsi="仿宋" w:eastAsia="仿宋" w:cs="仿宋"/>
          <w:color w:val="auto"/>
          <w:sz w:val="24"/>
          <w:szCs w:val="24"/>
          <w:lang w:val="en-US" w:eastAsia="zh-CN"/>
        </w:rPr>
        <w:t>单价和实际工作数量据实结算。</w:t>
      </w:r>
      <w:r>
        <w:rPr>
          <w:rFonts w:hint="eastAsia" w:ascii="仿宋" w:hAnsi="仿宋" w:eastAsia="仿宋" w:cs="仿宋"/>
          <w:sz w:val="24"/>
          <w:szCs w:val="24"/>
          <w:lang w:val="en-US" w:eastAsia="zh-CN"/>
        </w:rPr>
        <w:t>”</w:t>
      </w:r>
    </w:p>
    <w:p w14:paraId="47147CB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5、将原竞争性磋商文件第三章  项目采购需求三、商务要求中“7.付款方式：合同生效7个工作日支付50%；全部完成并验收合格后7个工作日支付50%。”更正为“7.付款方式：按实际数量据实结算，结算不超过最高限价。”</w:t>
      </w:r>
    </w:p>
    <w:p w14:paraId="4C2630E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43C6320E">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6、将原竞争性磋商文件</w:t>
      </w:r>
      <w:bookmarkStart w:id="1" w:name="_Toc4301"/>
      <w:r>
        <w:rPr>
          <w:rFonts w:hint="eastAsia" w:ascii="仿宋" w:hAnsi="仿宋" w:eastAsia="仿宋" w:cs="仿宋"/>
          <w:sz w:val="24"/>
          <w:szCs w:val="24"/>
          <w:lang w:val="en-US" w:eastAsia="zh-CN"/>
        </w:rPr>
        <w:t>第六章  竞争性磋商响应文件格式</w:t>
      </w:r>
      <w:bookmarkEnd w:id="1"/>
      <w:bookmarkStart w:id="2" w:name="_Toc15860"/>
      <w:r>
        <w:rPr>
          <w:rFonts w:hint="eastAsia" w:ascii="仿宋" w:hAnsi="仿宋" w:eastAsia="仿宋" w:cs="仿宋"/>
          <w:sz w:val="24"/>
          <w:szCs w:val="24"/>
          <w:lang w:val="en-US" w:eastAsia="zh-CN"/>
        </w:rPr>
        <w:t>“6.磋商分项报价表</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987"/>
        <w:gridCol w:w="2012"/>
        <w:gridCol w:w="1411"/>
        <w:gridCol w:w="1240"/>
      </w:tblGrid>
      <w:tr w14:paraId="033E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blHeader/>
          <w:jc w:val="center"/>
        </w:trPr>
        <w:tc>
          <w:tcPr>
            <w:tcW w:w="509" w:type="pct"/>
            <w:tcBorders>
              <w:bottom w:val="single" w:color="auto" w:sz="4" w:space="0"/>
            </w:tcBorders>
            <w:shd w:val="clear" w:color="auto" w:fill="BEBEBE"/>
            <w:noWrap w:val="0"/>
            <w:vAlign w:val="center"/>
          </w:tcPr>
          <w:p w14:paraId="1FBFECB5">
            <w:pPr>
              <w:adjustRightInd w:val="0"/>
              <w:snapToGrid w:val="0"/>
              <w:jc w:val="center"/>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序号</w:t>
            </w:r>
          </w:p>
        </w:tc>
        <w:tc>
          <w:tcPr>
            <w:tcW w:w="1753" w:type="pct"/>
            <w:tcBorders>
              <w:bottom w:val="single" w:color="auto" w:sz="4" w:space="0"/>
            </w:tcBorders>
            <w:shd w:val="clear" w:color="auto" w:fill="BEBEBE"/>
            <w:noWrap w:val="0"/>
            <w:vAlign w:val="center"/>
          </w:tcPr>
          <w:p w14:paraId="2A5044DF">
            <w:pPr>
              <w:adjustRightInd w:val="0"/>
              <w:snapToGrid w:val="0"/>
              <w:jc w:val="center"/>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项目内容</w:t>
            </w:r>
          </w:p>
        </w:tc>
        <w:tc>
          <w:tcPr>
            <w:tcW w:w="1181" w:type="pct"/>
            <w:tcBorders>
              <w:bottom w:val="single" w:color="auto" w:sz="4" w:space="0"/>
            </w:tcBorders>
            <w:shd w:val="clear" w:color="auto" w:fill="BEBEBE"/>
            <w:noWrap w:val="0"/>
            <w:vAlign w:val="center"/>
          </w:tcPr>
          <w:p w14:paraId="68BBAE06">
            <w:pPr>
              <w:adjustRightInd w:val="0"/>
              <w:snapToGrid w:val="0"/>
              <w:jc w:val="center"/>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 xml:space="preserve">费用 </w:t>
            </w:r>
          </w:p>
        </w:tc>
        <w:tc>
          <w:tcPr>
            <w:tcW w:w="828" w:type="pct"/>
            <w:tcBorders>
              <w:bottom w:val="single" w:color="auto" w:sz="4" w:space="0"/>
            </w:tcBorders>
            <w:shd w:val="clear" w:color="auto" w:fill="BEBEBE"/>
            <w:noWrap w:val="0"/>
            <w:vAlign w:val="center"/>
          </w:tcPr>
          <w:p w14:paraId="1E965C3C">
            <w:pPr>
              <w:adjustRightInd w:val="0"/>
              <w:snapToGrid w:val="0"/>
              <w:jc w:val="center"/>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服务期限</w:t>
            </w:r>
          </w:p>
        </w:tc>
        <w:tc>
          <w:tcPr>
            <w:tcW w:w="728" w:type="pct"/>
            <w:tcBorders>
              <w:bottom w:val="single" w:color="auto" w:sz="4" w:space="0"/>
            </w:tcBorders>
            <w:shd w:val="clear" w:color="auto" w:fill="BEBEBE"/>
            <w:noWrap w:val="0"/>
            <w:vAlign w:val="center"/>
          </w:tcPr>
          <w:p w14:paraId="6C416DEB">
            <w:pPr>
              <w:adjustRightInd w:val="0"/>
              <w:snapToGrid w:val="0"/>
              <w:jc w:val="center"/>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备注</w:t>
            </w:r>
          </w:p>
        </w:tc>
      </w:tr>
      <w:tr w14:paraId="76A8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509" w:type="pct"/>
            <w:noWrap w:val="0"/>
            <w:vAlign w:val="center"/>
          </w:tcPr>
          <w:p w14:paraId="4CE9BFD6">
            <w:pPr>
              <w:numPr>
                <w:ilvl w:val="0"/>
                <w:numId w:val="1"/>
              </w:numPr>
              <w:adjustRightInd w:val="0"/>
              <w:snapToGrid w:val="0"/>
              <w:rPr>
                <w:rFonts w:hint="eastAsia" w:ascii="仿宋" w:hAnsi="仿宋" w:eastAsia="仿宋" w:cs="仿宋_GB2312"/>
                <w:color w:val="auto"/>
                <w:sz w:val="24"/>
                <w:szCs w:val="24"/>
              </w:rPr>
            </w:pPr>
          </w:p>
        </w:tc>
        <w:tc>
          <w:tcPr>
            <w:tcW w:w="1753" w:type="pct"/>
            <w:noWrap w:val="0"/>
            <w:vAlign w:val="center"/>
          </w:tcPr>
          <w:p w14:paraId="30162B04">
            <w:pPr>
              <w:adjustRightInd w:val="0"/>
              <w:snapToGrid w:val="0"/>
              <w:rPr>
                <w:rFonts w:hint="eastAsia" w:ascii="仿宋" w:hAnsi="仿宋" w:eastAsia="仿宋" w:cs="仿宋_GB2312"/>
                <w:color w:val="auto"/>
                <w:sz w:val="24"/>
                <w:szCs w:val="24"/>
              </w:rPr>
            </w:pPr>
          </w:p>
        </w:tc>
        <w:tc>
          <w:tcPr>
            <w:tcW w:w="1181" w:type="pct"/>
            <w:noWrap w:val="0"/>
            <w:vAlign w:val="center"/>
          </w:tcPr>
          <w:p w14:paraId="16ECC12B">
            <w:pPr>
              <w:adjustRightInd w:val="0"/>
              <w:snapToGrid w:val="0"/>
              <w:jc w:val="center"/>
              <w:rPr>
                <w:rFonts w:hint="eastAsia" w:ascii="仿宋" w:hAnsi="仿宋" w:eastAsia="仿宋" w:cs="仿宋_GB2312"/>
                <w:color w:val="auto"/>
                <w:sz w:val="24"/>
                <w:szCs w:val="24"/>
              </w:rPr>
            </w:pPr>
          </w:p>
        </w:tc>
        <w:tc>
          <w:tcPr>
            <w:tcW w:w="828" w:type="pct"/>
            <w:vMerge w:val="restart"/>
            <w:noWrap w:val="0"/>
            <w:vAlign w:val="center"/>
          </w:tcPr>
          <w:p w14:paraId="08694155">
            <w:pPr>
              <w:adjustRightInd w:val="0"/>
              <w:snapToGrid w:val="0"/>
              <w:jc w:val="center"/>
              <w:rPr>
                <w:rFonts w:hint="eastAsia" w:ascii="仿宋" w:hAnsi="仿宋" w:eastAsia="仿宋" w:cs="仿宋_GB2312"/>
                <w:color w:val="auto"/>
                <w:sz w:val="24"/>
                <w:szCs w:val="24"/>
              </w:rPr>
            </w:pPr>
            <w:r>
              <w:rPr>
                <w:rFonts w:hint="eastAsia" w:ascii="仿宋" w:hAnsi="仿宋" w:eastAsia="仿宋" w:cs="仿宋_GB2312"/>
                <w:color w:val="auto"/>
                <w:sz w:val="24"/>
                <w:szCs w:val="24"/>
              </w:rPr>
              <w:t xml:space="preserve"> </w:t>
            </w:r>
          </w:p>
        </w:tc>
        <w:tc>
          <w:tcPr>
            <w:tcW w:w="728" w:type="pct"/>
            <w:noWrap w:val="0"/>
            <w:vAlign w:val="center"/>
          </w:tcPr>
          <w:p w14:paraId="4B73E692">
            <w:pPr>
              <w:adjustRightInd w:val="0"/>
              <w:snapToGrid w:val="0"/>
              <w:jc w:val="center"/>
              <w:rPr>
                <w:rFonts w:hint="eastAsia" w:ascii="仿宋" w:hAnsi="仿宋" w:eastAsia="仿宋" w:cs="仿宋_GB2312"/>
                <w:color w:val="auto"/>
                <w:sz w:val="24"/>
                <w:szCs w:val="24"/>
              </w:rPr>
            </w:pPr>
          </w:p>
        </w:tc>
      </w:tr>
      <w:tr w14:paraId="6743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509" w:type="pct"/>
            <w:noWrap w:val="0"/>
            <w:vAlign w:val="center"/>
          </w:tcPr>
          <w:p w14:paraId="31E1936B">
            <w:pPr>
              <w:numPr>
                <w:ilvl w:val="0"/>
                <w:numId w:val="1"/>
              </w:numPr>
              <w:adjustRightInd w:val="0"/>
              <w:snapToGrid w:val="0"/>
              <w:rPr>
                <w:rFonts w:hint="eastAsia" w:ascii="仿宋" w:hAnsi="仿宋" w:eastAsia="仿宋" w:cs="仿宋_GB2312"/>
                <w:color w:val="auto"/>
                <w:sz w:val="24"/>
                <w:szCs w:val="24"/>
              </w:rPr>
            </w:pPr>
          </w:p>
        </w:tc>
        <w:tc>
          <w:tcPr>
            <w:tcW w:w="1753" w:type="pct"/>
            <w:noWrap w:val="0"/>
            <w:vAlign w:val="center"/>
          </w:tcPr>
          <w:p w14:paraId="08830433">
            <w:pPr>
              <w:adjustRightInd w:val="0"/>
              <w:snapToGrid w:val="0"/>
              <w:rPr>
                <w:rFonts w:hint="eastAsia" w:ascii="仿宋" w:hAnsi="仿宋" w:eastAsia="仿宋" w:cs="仿宋_GB2312"/>
                <w:color w:val="auto"/>
                <w:sz w:val="24"/>
                <w:szCs w:val="24"/>
              </w:rPr>
            </w:pPr>
          </w:p>
        </w:tc>
        <w:tc>
          <w:tcPr>
            <w:tcW w:w="1181" w:type="pct"/>
            <w:noWrap w:val="0"/>
            <w:vAlign w:val="center"/>
          </w:tcPr>
          <w:p w14:paraId="3A448CFF">
            <w:pPr>
              <w:adjustRightInd w:val="0"/>
              <w:snapToGrid w:val="0"/>
              <w:jc w:val="center"/>
              <w:rPr>
                <w:rFonts w:hint="eastAsia" w:ascii="仿宋" w:hAnsi="仿宋" w:eastAsia="仿宋" w:cs="仿宋_GB2312"/>
                <w:color w:val="auto"/>
                <w:sz w:val="24"/>
                <w:szCs w:val="24"/>
              </w:rPr>
            </w:pPr>
          </w:p>
        </w:tc>
        <w:tc>
          <w:tcPr>
            <w:tcW w:w="828" w:type="pct"/>
            <w:vMerge w:val="continue"/>
            <w:noWrap w:val="0"/>
            <w:vAlign w:val="center"/>
          </w:tcPr>
          <w:p w14:paraId="76E28A09">
            <w:pPr>
              <w:adjustRightInd w:val="0"/>
              <w:snapToGrid w:val="0"/>
              <w:jc w:val="center"/>
              <w:rPr>
                <w:rFonts w:hint="eastAsia" w:ascii="仿宋" w:hAnsi="仿宋" w:eastAsia="仿宋" w:cs="仿宋_GB2312"/>
                <w:color w:val="auto"/>
                <w:sz w:val="24"/>
                <w:szCs w:val="24"/>
              </w:rPr>
            </w:pPr>
          </w:p>
        </w:tc>
        <w:tc>
          <w:tcPr>
            <w:tcW w:w="728" w:type="pct"/>
            <w:noWrap w:val="0"/>
            <w:vAlign w:val="center"/>
          </w:tcPr>
          <w:p w14:paraId="60A15383">
            <w:pPr>
              <w:adjustRightInd w:val="0"/>
              <w:snapToGrid w:val="0"/>
              <w:jc w:val="center"/>
              <w:rPr>
                <w:rFonts w:hint="eastAsia" w:ascii="仿宋" w:hAnsi="仿宋" w:eastAsia="仿宋" w:cs="仿宋_GB2312"/>
                <w:color w:val="auto"/>
                <w:sz w:val="24"/>
                <w:szCs w:val="24"/>
              </w:rPr>
            </w:pPr>
          </w:p>
        </w:tc>
      </w:tr>
      <w:tr w14:paraId="251B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509" w:type="pct"/>
            <w:noWrap w:val="0"/>
            <w:vAlign w:val="center"/>
          </w:tcPr>
          <w:p w14:paraId="73445D47">
            <w:pPr>
              <w:numPr>
                <w:ilvl w:val="0"/>
                <w:numId w:val="1"/>
              </w:numPr>
              <w:adjustRightInd w:val="0"/>
              <w:snapToGrid w:val="0"/>
              <w:rPr>
                <w:rFonts w:hint="eastAsia" w:ascii="仿宋" w:hAnsi="仿宋" w:eastAsia="仿宋" w:cs="仿宋_GB2312"/>
                <w:color w:val="auto"/>
                <w:sz w:val="24"/>
                <w:szCs w:val="24"/>
              </w:rPr>
            </w:pPr>
          </w:p>
        </w:tc>
        <w:tc>
          <w:tcPr>
            <w:tcW w:w="1753" w:type="pct"/>
            <w:noWrap w:val="0"/>
            <w:vAlign w:val="center"/>
          </w:tcPr>
          <w:p w14:paraId="38E07951">
            <w:pPr>
              <w:adjustRightInd w:val="0"/>
              <w:snapToGrid w:val="0"/>
              <w:rPr>
                <w:rFonts w:hint="eastAsia" w:ascii="仿宋" w:hAnsi="仿宋" w:eastAsia="仿宋" w:cs="仿宋_GB2312"/>
                <w:color w:val="auto"/>
                <w:sz w:val="24"/>
                <w:szCs w:val="24"/>
              </w:rPr>
            </w:pPr>
          </w:p>
        </w:tc>
        <w:tc>
          <w:tcPr>
            <w:tcW w:w="1181" w:type="pct"/>
            <w:noWrap w:val="0"/>
            <w:vAlign w:val="center"/>
          </w:tcPr>
          <w:p w14:paraId="3CDB657D">
            <w:pPr>
              <w:adjustRightInd w:val="0"/>
              <w:snapToGrid w:val="0"/>
              <w:jc w:val="center"/>
              <w:rPr>
                <w:rFonts w:hint="eastAsia" w:ascii="仿宋" w:hAnsi="仿宋" w:eastAsia="仿宋" w:cs="仿宋_GB2312"/>
                <w:color w:val="auto"/>
                <w:sz w:val="24"/>
                <w:szCs w:val="24"/>
              </w:rPr>
            </w:pPr>
          </w:p>
        </w:tc>
        <w:tc>
          <w:tcPr>
            <w:tcW w:w="828" w:type="pct"/>
            <w:vMerge w:val="continue"/>
            <w:noWrap w:val="0"/>
            <w:vAlign w:val="center"/>
          </w:tcPr>
          <w:p w14:paraId="2C75991A">
            <w:pPr>
              <w:adjustRightInd w:val="0"/>
              <w:snapToGrid w:val="0"/>
              <w:jc w:val="center"/>
              <w:rPr>
                <w:rFonts w:hint="eastAsia" w:ascii="仿宋" w:hAnsi="仿宋" w:eastAsia="仿宋" w:cs="仿宋_GB2312"/>
                <w:color w:val="auto"/>
                <w:sz w:val="24"/>
                <w:szCs w:val="24"/>
              </w:rPr>
            </w:pPr>
          </w:p>
        </w:tc>
        <w:tc>
          <w:tcPr>
            <w:tcW w:w="728" w:type="pct"/>
            <w:noWrap w:val="0"/>
            <w:vAlign w:val="center"/>
          </w:tcPr>
          <w:p w14:paraId="62B85DA5">
            <w:pPr>
              <w:adjustRightInd w:val="0"/>
              <w:snapToGrid w:val="0"/>
              <w:jc w:val="center"/>
              <w:rPr>
                <w:rFonts w:hint="eastAsia" w:ascii="仿宋" w:hAnsi="仿宋" w:eastAsia="仿宋" w:cs="仿宋_GB2312"/>
                <w:color w:val="auto"/>
                <w:sz w:val="24"/>
                <w:szCs w:val="24"/>
              </w:rPr>
            </w:pPr>
          </w:p>
        </w:tc>
      </w:tr>
      <w:tr w14:paraId="3627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09" w:type="pct"/>
            <w:noWrap w:val="0"/>
            <w:vAlign w:val="center"/>
          </w:tcPr>
          <w:p w14:paraId="7E281406">
            <w:pPr>
              <w:numPr>
                <w:ilvl w:val="0"/>
                <w:numId w:val="1"/>
              </w:numPr>
              <w:adjustRightInd w:val="0"/>
              <w:snapToGrid w:val="0"/>
              <w:rPr>
                <w:rFonts w:hint="eastAsia" w:ascii="仿宋" w:hAnsi="仿宋" w:eastAsia="仿宋" w:cs="仿宋_GB2312"/>
                <w:color w:val="auto"/>
                <w:sz w:val="24"/>
                <w:szCs w:val="24"/>
              </w:rPr>
            </w:pPr>
          </w:p>
        </w:tc>
        <w:tc>
          <w:tcPr>
            <w:tcW w:w="1753" w:type="pct"/>
            <w:noWrap w:val="0"/>
            <w:vAlign w:val="center"/>
          </w:tcPr>
          <w:p w14:paraId="7CB907CF">
            <w:pPr>
              <w:adjustRightInd w:val="0"/>
              <w:snapToGrid w:val="0"/>
              <w:rPr>
                <w:rFonts w:hint="eastAsia" w:ascii="仿宋" w:hAnsi="仿宋" w:eastAsia="仿宋" w:cs="仿宋_GB2312"/>
                <w:color w:val="auto"/>
                <w:sz w:val="24"/>
                <w:szCs w:val="24"/>
              </w:rPr>
            </w:pPr>
          </w:p>
        </w:tc>
        <w:tc>
          <w:tcPr>
            <w:tcW w:w="1181" w:type="pct"/>
            <w:noWrap w:val="0"/>
            <w:vAlign w:val="center"/>
          </w:tcPr>
          <w:p w14:paraId="4FD56EF3">
            <w:pPr>
              <w:adjustRightInd w:val="0"/>
              <w:snapToGrid w:val="0"/>
              <w:jc w:val="center"/>
              <w:rPr>
                <w:rFonts w:hint="eastAsia" w:ascii="仿宋" w:hAnsi="仿宋" w:eastAsia="仿宋" w:cs="仿宋_GB2312"/>
                <w:color w:val="auto"/>
                <w:sz w:val="24"/>
                <w:szCs w:val="24"/>
              </w:rPr>
            </w:pPr>
          </w:p>
        </w:tc>
        <w:tc>
          <w:tcPr>
            <w:tcW w:w="828" w:type="pct"/>
            <w:vMerge w:val="continue"/>
            <w:noWrap w:val="0"/>
            <w:vAlign w:val="center"/>
          </w:tcPr>
          <w:p w14:paraId="3F356D12">
            <w:pPr>
              <w:adjustRightInd w:val="0"/>
              <w:snapToGrid w:val="0"/>
              <w:jc w:val="center"/>
              <w:rPr>
                <w:rFonts w:hint="eastAsia" w:ascii="仿宋" w:hAnsi="仿宋" w:eastAsia="仿宋" w:cs="仿宋_GB2312"/>
                <w:color w:val="auto"/>
                <w:sz w:val="24"/>
                <w:szCs w:val="24"/>
              </w:rPr>
            </w:pPr>
          </w:p>
        </w:tc>
        <w:tc>
          <w:tcPr>
            <w:tcW w:w="728" w:type="pct"/>
            <w:noWrap w:val="0"/>
            <w:vAlign w:val="center"/>
          </w:tcPr>
          <w:p w14:paraId="23347E88">
            <w:pPr>
              <w:adjustRightInd w:val="0"/>
              <w:snapToGrid w:val="0"/>
              <w:jc w:val="center"/>
              <w:rPr>
                <w:rFonts w:hint="eastAsia" w:ascii="仿宋" w:hAnsi="仿宋" w:eastAsia="仿宋" w:cs="仿宋_GB2312"/>
                <w:color w:val="auto"/>
                <w:sz w:val="24"/>
                <w:szCs w:val="24"/>
              </w:rPr>
            </w:pPr>
          </w:p>
        </w:tc>
      </w:tr>
      <w:tr w14:paraId="4675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29AFA76C">
            <w:pPr>
              <w:numPr>
                <w:ilvl w:val="0"/>
                <w:numId w:val="1"/>
              </w:numPr>
              <w:adjustRightInd w:val="0"/>
              <w:snapToGrid w:val="0"/>
              <w:rPr>
                <w:rFonts w:hint="eastAsia" w:ascii="仿宋" w:hAnsi="仿宋" w:eastAsia="仿宋" w:cs="仿宋_GB2312"/>
                <w:color w:val="auto"/>
                <w:sz w:val="24"/>
                <w:szCs w:val="24"/>
              </w:rPr>
            </w:pPr>
          </w:p>
        </w:tc>
        <w:tc>
          <w:tcPr>
            <w:tcW w:w="1753" w:type="pct"/>
            <w:noWrap w:val="0"/>
            <w:vAlign w:val="center"/>
          </w:tcPr>
          <w:p w14:paraId="7C9CF3F0">
            <w:pPr>
              <w:adjustRightInd w:val="0"/>
              <w:snapToGrid w:val="0"/>
              <w:rPr>
                <w:rFonts w:hint="eastAsia" w:ascii="仿宋" w:hAnsi="仿宋" w:eastAsia="仿宋" w:cs="仿宋_GB2312"/>
                <w:color w:val="auto"/>
                <w:sz w:val="24"/>
                <w:szCs w:val="24"/>
              </w:rPr>
            </w:pPr>
          </w:p>
        </w:tc>
        <w:tc>
          <w:tcPr>
            <w:tcW w:w="1181" w:type="pct"/>
            <w:noWrap w:val="0"/>
            <w:vAlign w:val="center"/>
          </w:tcPr>
          <w:p w14:paraId="587D5BAB">
            <w:pPr>
              <w:adjustRightInd w:val="0"/>
              <w:snapToGrid w:val="0"/>
              <w:jc w:val="center"/>
              <w:rPr>
                <w:rFonts w:hint="eastAsia" w:ascii="仿宋" w:hAnsi="仿宋" w:eastAsia="仿宋" w:cs="仿宋_GB2312"/>
                <w:color w:val="auto"/>
                <w:sz w:val="24"/>
                <w:szCs w:val="24"/>
              </w:rPr>
            </w:pPr>
          </w:p>
        </w:tc>
        <w:tc>
          <w:tcPr>
            <w:tcW w:w="828" w:type="pct"/>
            <w:vMerge w:val="continue"/>
            <w:noWrap w:val="0"/>
            <w:vAlign w:val="center"/>
          </w:tcPr>
          <w:p w14:paraId="7F7C69F9">
            <w:pPr>
              <w:adjustRightInd w:val="0"/>
              <w:snapToGrid w:val="0"/>
              <w:jc w:val="center"/>
              <w:rPr>
                <w:rFonts w:hint="eastAsia" w:ascii="仿宋" w:hAnsi="仿宋" w:eastAsia="仿宋" w:cs="仿宋_GB2312"/>
                <w:color w:val="auto"/>
                <w:sz w:val="24"/>
                <w:szCs w:val="24"/>
              </w:rPr>
            </w:pPr>
          </w:p>
        </w:tc>
        <w:tc>
          <w:tcPr>
            <w:tcW w:w="728" w:type="pct"/>
            <w:noWrap w:val="0"/>
            <w:vAlign w:val="center"/>
          </w:tcPr>
          <w:p w14:paraId="29B95F94">
            <w:pPr>
              <w:adjustRightInd w:val="0"/>
              <w:snapToGrid w:val="0"/>
              <w:jc w:val="center"/>
              <w:rPr>
                <w:rFonts w:hint="eastAsia" w:ascii="仿宋" w:hAnsi="仿宋" w:eastAsia="仿宋" w:cs="仿宋_GB2312"/>
                <w:color w:val="auto"/>
                <w:sz w:val="24"/>
                <w:szCs w:val="24"/>
              </w:rPr>
            </w:pPr>
          </w:p>
        </w:tc>
      </w:tr>
      <w:tr w14:paraId="6236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3DFC4129">
            <w:pPr>
              <w:numPr>
                <w:ilvl w:val="0"/>
                <w:numId w:val="1"/>
              </w:numPr>
              <w:adjustRightInd w:val="0"/>
              <w:snapToGrid w:val="0"/>
              <w:rPr>
                <w:rFonts w:hint="eastAsia" w:ascii="仿宋" w:hAnsi="仿宋" w:eastAsia="仿宋" w:cs="仿宋_GB2312"/>
                <w:color w:val="auto"/>
                <w:sz w:val="24"/>
                <w:szCs w:val="24"/>
              </w:rPr>
            </w:pPr>
          </w:p>
        </w:tc>
        <w:tc>
          <w:tcPr>
            <w:tcW w:w="1753" w:type="pct"/>
            <w:noWrap w:val="0"/>
            <w:vAlign w:val="center"/>
          </w:tcPr>
          <w:p w14:paraId="04761C23">
            <w:pPr>
              <w:adjustRightInd w:val="0"/>
              <w:snapToGrid w:val="0"/>
              <w:rPr>
                <w:rFonts w:hint="eastAsia" w:ascii="仿宋" w:hAnsi="仿宋" w:eastAsia="仿宋" w:cs="仿宋_GB2312"/>
                <w:color w:val="auto"/>
                <w:sz w:val="24"/>
                <w:szCs w:val="24"/>
              </w:rPr>
            </w:pPr>
          </w:p>
        </w:tc>
        <w:tc>
          <w:tcPr>
            <w:tcW w:w="1181" w:type="pct"/>
            <w:noWrap w:val="0"/>
            <w:vAlign w:val="center"/>
          </w:tcPr>
          <w:p w14:paraId="2AED2185">
            <w:pPr>
              <w:adjustRightInd w:val="0"/>
              <w:snapToGrid w:val="0"/>
              <w:jc w:val="center"/>
              <w:rPr>
                <w:rFonts w:hint="eastAsia" w:ascii="仿宋" w:hAnsi="仿宋" w:eastAsia="仿宋" w:cs="仿宋_GB2312"/>
                <w:color w:val="auto"/>
                <w:sz w:val="24"/>
                <w:szCs w:val="24"/>
              </w:rPr>
            </w:pPr>
          </w:p>
        </w:tc>
        <w:tc>
          <w:tcPr>
            <w:tcW w:w="828" w:type="pct"/>
            <w:vMerge w:val="continue"/>
            <w:noWrap w:val="0"/>
            <w:vAlign w:val="center"/>
          </w:tcPr>
          <w:p w14:paraId="7DE9E14F">
            <w:pPr>
              <w:adjustRightInd w:val="0"/>
              <w:snapToGrid w:val="0"/>
              <w:jc w:val="center"/>
              <w:rPr>
                <w:rFonts w:hint="eastAsia" w:ascii="仿宋" w:hAnsi="仿宋" w:eastAsia="仿宋" w:cs="仿宋_GB2312"/>
                <w:color w:val="auto"/>
                <w:sz w:val="24"/>
                <w:szCs w:val="24"/>
              </w:rPr>
            </w:pPr>
          </w:p>
        </w:tc>
        <w:tc>
          <w:tcPr>
            <w:tcW w:w="728" w:type="pct"/>
            <w:noWrap w:val="0"/>
            <w:vAlign w:val="center"/>
          </w:tcPr>
          <w:p w14:paraId="72556B33">
            <w:pPr>
              <w:adjustRightInd w:val="0"/>
              <w:snapToGrid w:val="0"/>
              <w:jc w:val="center"/>
              <w:rPr>
                <w:rFonts w:hint="eastAsia" w:ascii="仿宋" w:hAnsi="仿宋" w:eastAsia="仿宋" w:cs="仿宋_GB2312"/>
                <w:color w:val="auto"/>
                <w:sz w:val="24"/>
                <w:szCs w:val="24"/>
              </w:rPr>
            </w:pPr>
          </w:p>
        </w:tc>
      </w:tr>
      <w:tr w14:paraId="6C41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4673A700">
            <w:pPr>
              <w:numPr>
                <w:ilvl w:val="0"/>
                <w:numId w:val="1"/>
              </w:numPr>
              <w:adjustRightInd w:val="0"/>
              <w:snapToGrid w:val="0"/>
              <w:rPr>
                <w:rFonts w:hint="eastAsia" w:ascii="仿宋" w:hAnsi="仿宋" w:eastAsia="仿宋" w:cs="仿宋_GB2312"/>
                <w:color w:val="auto"/>
                <w:sz w:val="24"/>
                <w:szCs w:val="24"/>
              </w:rPr>
            </w:pPr>
          </w:p>
        </w:tc>
        <w:tc>
          <w:tcPr>
            <w:tcW w:w="1753" w:type="pct"/>
            <w:noWrap w:val="0"/>
            <w:vAlign w:val="center"/>
          </w:tcPr>
          <w:p w14:paraId="71EFDB43">
            <w:pPr>
              <w:adjustRightInd w:val="0"/>
              <w:snapToGrid w:val="0"/>
              <w:rPr>
                <w:rFonts w:hint="eastAsia" w:ascii="仿宋" w:hAnsi="仿宋" w:eastAsia="仿宋" w:cs="仿宋_GB2312"/>
                <w:color w:val="auto"/>
                <w:sz w:val="24"/>
                <w:szCs w:val="24"/>
              </w:rPr>
            </w:pPr>
          </w:p>
        </w:tc>
        <w:tc>
          <w:tcPr>
            <w:tcW w:w="1181" w:type="pct"/>
            <w:noWrap w:val="0"/>
            <w:vAlign w:val="center"/>
          </w:tcPr>
          <w:p w14:paraId="31647DC0">
            <w:pPr>
              <w:adjustRightInd w:val="0"/>
              <w:snapToGrid w:val="0"/>
              <w:jc w:val="center"/>
              <w:rPr>
                <w:rFonts w:hint="eastAsia" w:ascii="仿宋" w:hAnsi="仿宋" w:eastAsia="仿宋" w:cs="仿宋_GB2312"/>
                <w:color w:val="auto"/>
                <w:sz w:val="24"/>
                <w:szCs w:val="24"/>
              </w:rPr>
            </w:pPr>
          </w:p>
        </w:tc>
        <w:tc>
          <w:tcPr>
            <w:tcW w:w="828" w:type="pct"/>
            <w:vMerge w:val="continue"/>
            <w:noWrap w:val="0"/>
            <w:vAlign w:val="center"/>
          </w:tcPr>
          <w:p w14:paraId="48FE19D1">
            <w:pPr>
              <w:adjustRightInd w:val="0"/>
              <w:snapToGrid w:val="0"/>
              <w:jc w:val="center"/>
              <w:rPr>
                <w:rFonts w:hint="eastAsia" w:ascii="仿宋" w:hAnsi="仿宋" w:eastAsia="仿宋" w:cs="仿宋_GB2312"/>
                <w:color w:val="auto"/>
                <w:sz w:val="24"/>
                <w:szCs w:val="24"/>
              </w:rPr>
            </w:pPr>
          </w:p>
        </w:tc>
        <w:tc>
          <w:tcPr>
            <w:tcW w:w="728" w:type="pct"/>
            <w:noWrap w:val="0"/>
            <w:vAlign w:val="center"/>
          </w:tcPr>
          <w:p w14:paraId="357C3A77">
            <w:pPr>
              <w:adjustRightInd w:val="0"/>
              <w:snapToGrid w:val="0"/>
              <w:jc w:val="center"/>
              <w:rPr>
                <w:rFonts w:hint="eastAsia" w:ascii="仿宋" w:hAnsi="仿宋" w:eastAsia="仿宋" w:cs="仿宋_GB2312"/>
                <w:color w:val="auto"/>
                <w:sz w:val="24"/>
                <w:szCs w:val="24"/>
              </w:rPr>
            </w:pPr>
          </w:p>
        </w:tc>
      </w:tr>
      <w:tr w14:paraId="212E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302F65FB">
            <w:pPr>
              <w:numPr>
                <w:ilvl w:val="0"/>
                <w:numId w:val="1"/>
              </w:numPr>
              <w:adjustRightInd w:val="0"/>
              <w:snapToGrid w:val="0"/>
              <w:rPr>
                <w:rFonts w:hint="eastAsia" w:ascii="仿宋" w:hAnsi="仿宋" w:eastAsia="仿宋" w:cs="仿宋_GB2312"/>
                <w:color w:val="auto"/>
                <w:sz w:val="24"/>
                <w:szCs w:val="24"/>
              </w:rPr>
            </w:pPr>
          </w:p>
        </w:tc>
        <w:tc>
          <w:tcPr>
            <w:tcW w:w="1753" w:type="pct"/>
            <w:noWrap w:val="0"/>
            <w:vAlign w:val="center"/>
          </w:tcPr>
          <w:p w14:paraId="7C6C342A">
            <w:pPr>
              <w:adjustRightInd w:val="0"/>
              <w:snapToGrid w:val="0"/>
              <w:rPr>
                <w:rFonts w:hint="eastAsia" w:ascii="仿宋" w:hAnsi="仿宋" w:eastAsia="仿宋" w:cs="仿宋_GB2312"/>
                <w:color w:val="auto"/>
                <w:sz w:val="24"/>
                <w:szCs w:val="24"/>
              </w:rPr>
            </w:pPr>
            <w:r>
              <w:rPr>
                <w:rFonts w:hint="eastAsia" w:ascii="仿宋" w:hAnsi="仿宋" w:eastAsia="仿宋" w:cs="仿宋_GB2312"/>
                <w:color w:val="auto"/>
                <w:sz w:val="24"/>
                <w:szCs w:val="24"/>
              </w:rPr>
              <w:t>法定税金</w:t>
            </w:r>
          </w:p>
        </w:tc>
        <w:tc>
          <w:tcPr>
            <w:tcW w:w="1181" w:type="pct"/>
            <w:noWrap w:val="0"/>
            <w:vAlign w:val="center"/>
          </w:tcPr>
          <w:p w14:paraId="2C1E126F">
            <w:pPr>
              <w:adjustRightInd w:val="0"/>
              <w:snapToGrid w:val="0"/>
              <w:jc w:val="center"/>
              <w:rPr>
                <w:rFonts w:hint="eastAsia" w:ascii="仿宋" w:hAnsi="仿宋" w:eastAsia="仿宋" w:cs="仿宋_GB2312"/>
                <w:color w:val="auto"/>
                <w:sz w:val="24"/>
                <w:szCs w:val="24"/>
              </w:rPr>
            </w:pPr>
          </w:p>
        </w:tc>
        <w:tc>
          <w:tcPr>
            <w:tcW w:w="828" w:type="pct"/>
            <w:vMerge w:val="continue"/>
            <w:noWrap w:val="0"/>
            <w:vAlign w:val="center"/>
          </w:tcPr>
          <w:p w14:paraId="70F33393">
            <w:pPr>
              <w:adjustRightInd w:val="0"/>
              <w:snapToGrid w:val="0"/>
              <w:jc w:val="center"/>
              <w:rPr>
                <w:rFonts w:hint="eastAsia" w:ascii="仿宋" w:hAnsi="仿宋" w:eastAsia="仿宋" w:cs="仿宋_GB2312"/>
                <w:color w:val="auto"/>
                <w:sz w:val="24"/>
                <w:szCs w:val="24"/>
              </w:rPr>
            </w:pPr>
          </w:p>
        </w:tc>
        <w:tc>
          <w:tcPr>
            <w:tcW w:w="728" w:type="pct"/>
            <w:noWrap w:val="0"/>
            <w:vAlign w:val="center"/>
          </w:tcPr>
          <w:p w14:paraId="61CA9B41">
            <w:pPr>
              <w:adjustRightInd w:val="0"/>
              <w:snapToGrid w:val="0"/>
              <w:jc w:val="center"/>
              <w:rPr>
                <w:rFonts w:hint="eastAsia" w:ascii="仿宋" w:hAnsi="仿宋" w:eastAsia="仿宋" w:cs="仿宋_GB2312"/>
                <w:color w:val="auto"/>
                <w:sz w:val="24"/>
                <w:szCs w:val="24"/>
              </w:rPr>
            </w:pPr>
          </w:p>
        </w:tc>
      </w:tr>
      <w:tr w14:paraId="2CFB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9" w:type="pct"/>
            <w:noWrap w:val="0"/>
            <w:vAlign w:val="center"/>
          </w:tcPr>
          <w:p w14:paraId="54AB5A27">
            <w:pPr>
              <w:numPr>
                <w:ilvl w:val="0"/>
                <w:numId w:val="1"/>
              </w:numPr>
              <w:adjustRightInd w:val="0"/>
              <w:snapToGrid w:val="0"/>
              <w:rPr>
                <w:rFonts w:hint="eastAsia" w:ascii="仿宋" w:hAnsi="仿宋" w:eastAsia="仿宋" w:cs="仿宋_GB2312"/>
                <w:color w:val="auto"/>
                <w:sz w:val="24"/>
                <w:szCs w:val="24"/>
              </w:rPr>
            </w:pPr>
          </w:p>
        </w:tc>
        <w:tc>
          <w:tcPr>
            <w:tcW w:w="1753" w:type="pct"/>
            <w:noWrap w:val="0"/>
            <w:vAlign w:val="center"/>
          </w:tcPr>
          <w:p w14:paraId="37225793">
            <w:pPr>
              <w:adjustRightInd w:val="0"/>
              <w:snapToGrid w:val="0"/>
              <w:rPr>
                <w:rFonts w:hint="eastAsia" w:ascii="仿宋" w:hAnsi="仿宋" w:eastAsia="仿宋" w:cs="仿宋_GB2312"/>
                <w:color w:val="auto"/>
                <w:sz w:val="24"/>
                <w:szCs w:val="24"/>
              </w:rPr>
            </w:pPr>
            <w:r>
              <w:rPr>
                <w:rFonts w:hint="eastAsia" w:ascii="仿宋" w:hAnsi="仿宋" w:eastAsia="仿宋" w:cs="仿宋_GB2312"/>
                <w:color w:val="auto"/>
                <w:sz w:val="24"/>
                <w:szCs w:val="24"/>
              </w:rPr>
              <w:t>其它</w:t>
            </w:r>
          </w:p>
        </w:tc>
        <w:tc>
          <w:tcPr>
            <w:tcW w:w="1181" w:type="pct"/>
            <w:noWrap w:val="0"/>
            <w:vAlign w:val="center"/>
          </w:tcPr>
          <w:p w14:paraId="2F217178">
            <w:pPr>
              <w:adjustRightInd w:val="0"/>
              <w:snapToGrid w:val="0"/>
              <w:ind w:left="630"/>
              <w:jc w:val="center"/>
              <w:rPr>
                <w:rFonts w:hint="eastAsia" w:ascii="仿宋" w:hAnsi="仿宋" w:eastAsia="仿宋" w:cs="仿宋_GB2312"/>
                <w:color w:val="auto"/>
                <w:sz w:val="24"/>
                <w:szCs w:val="24"/>
              </w:rPr>
            </w:pPr>
          </w:p>
        </w:tc>
        <w:tc>
          <w:tcPr>
            <w:tcW w:w="828" w:type="pct"/>
            <w:vMerge w:val="continue"/>
            <w:noWrap w:val="0"/>
            <w:vAlign w:val="center"/>
          </w:tcPr>
          <w:p w14:paraId="5A5EE280">
            <w:pPr>
              <w:adjustRightInd w:val="0"/>
              <w:snapToGrid w:val="0"/>
              <w:ind w:left="630"/>
              <w:jc w:val="center"/>
              <w:rPr>
                <w:rFonts w:hint="eastAsia" w:ascii="仿宋" w:hAnsi="仿宋" w:eastAsia="仿宋" w:cs="仿宋_GB2312"/>
                <w:color w:val="auto"/>
                <w:sz w:val="24"/>
                <w:szCs w:val="24"/>
              </w:rPr>
            </w:pPr>
          </w:p>
        </w:tc>
        <w:tc>
          <w:tcPr>
            <w:tcW w:w="728" w:type="pct"/>
            <w:noWrap w:val="0"/>
            <w:vAlign w:val="center"/>
          </w:tcPr>
          <w:p w14:paraId="4E75FE54">
            <w:pPr>
              <w:adjustRightInd w:val="0"/>
              <w:snapToGrid w:val="0"/>
              <w:ind w:left="630"/>
              <w:jc w:val="center"/>
              <w:rPr>
                <w:rFonts w:hint="eastAsia" w:ascii="仿宋" w:hAnsi="仿宋" w:eastAsia="仿宋" w:cs="仿宋_GB2312"/>
                <w:color w:val="auto"/>
                <w:sz w:val="24"/>
                <w:szCs w:val="24"/>
              </w:rPr>
            </w:pPr>
          </w:p>
        </w:tc>
      </w:tr>
      <w:tr w14:paraId="22B9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09" w:type="pct"/>
            <w:noWrap w:val="0"/>
            <w:vAlign w:val="center"/>
          </w:tcPr>
          <w:p w14:paraId="247A803C">
            <w:pPr>
              <w:numPr>
                <w:ilvl w:val="0"/>
                <w:numId w:val="1"/>
              </w:numPr>
              <w:adjustRightInd w:val="0"/>
              <w:snapToGrid w:val="0"/>
              <w:rPr>
                <w:rFonts w:hint="eastAsia" w:ascii="仿宋" w:hAnsi="仿宋" w:eastAsia="仿宋" w:cs="仿宋_GB2312"/>
                <w:color w:val="auto"/>
                <w:sz w:val="24"/>
                <w:szCs w:val="24"/>
              </w:rPr>
            </w:pPr>
          </w:p>
        </w:tc>
        <w:tc>
          <w:tcPr>
            <w:tcW w:w="1753" w:type="pct"/>
            <w:noWrap w:val="0"/>
            <w:vAlign w:val="center"/>
          </w:tcPr>
          <w:p w14:paraId="404997DE">
            <w:pPr>
              <w:adjustRightInd w:val="0"/>
              <w:snapToGrid w:val="0"/>
              <w:rPr>
                <w:rFonts w:hint="eastAsia" w:ascii="仿宋" w:hAnsi="仿宋" w:eastAsia="仿宋" w:cs="仿宋_GB2312"/>
                <w:color w:val="auto"/>
                <w:sz w:val="24"/>
                <w:szCs w:val="24"/>
              </w:rPr>
            </w:pPr>
            <w:r>
              <w:rPr>
                <w:rFonts w:hint="eastAsia" w:ascii="仿宋" w:hAnsi="仿宋" w:eastAsia="仿宋" w:cs="仿宋_GB2312"/>
                <w:color w:val="auto"/>
                <w:sz w:val="24"/>
                <w:szCs w:val="24"/>
              </w:rPr>
              <w:t>投标总价</w:t>
            </w:r>
          </w:p>
        </w:tc>
        <w:tc>
          <w:tcPr>
            <w:tcW w:w="2737" w:type="pct"/>
            <w:gridSpan w:val="3"/>
            <w:noWrap w:val="0"/>
            <w:vAlign w:val="center"/>
          </w:tcPr>
          <w:p w14:paraId="185E4B35">
            <w:pPr>
              <w:adjustRightInd w:val="0"/>
              <w:snapToGrid w:val="0"/>
              <w:jc w:val="center"/>
              <w:rPr>
                <w:rFonts w:hint="eastAsia" w:ascii="仿宋" w:hAnsi="仿宋" w:eastAsia="仿宋" w:cs="仿宋_GB2312"/>
                <w:color w:val="auto"/>
                <w:sz w:val="24"/>
                <w:szCs w:val="24"/>
                <w:u w:val="single"/>
              </w:rPr>
            </w:pPr>
            <w:r>
              <w:rPr>
                <w:rFonts w:hint="eastAsia" w:ascii="仿宋" w:hAnsi="仿宋" w:eastAsia="仿宋" w:cs="仿宋_GB2312"/>
                <w:color w:val="auto"/>
                <w:sz w:val="24"/>
                <w:szCs w:val="24"/>
                <w:lang w:val="en-US" w:eastAsia="zh-CN"/>
              </w:rPr>
              <w:t>万</w:t>
            </w:r>
            <w:r>
              <w:rPr>
                <w:rFonts w:hint="eastAsia" w:ascii="仿宋" w:hAnsi="仿宋" w:eastAsia="仿宋" w:cs="仿宋_GB2312"/>
                <w:color w:val="auto"/>
                <w:sz w:val="24"/>
                <w:szCs w:val="24"/>
              </w:rPr>
              <w:t>元人民币</w:t>
            </w:r>
          </w:p>
        </w:tc>
      </w:tr>
    </w:tbl>
    <w:p w14:paraId="21C51690">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说明：</w:t>
      </w:r>
    </w:p>
    <w:p w14:paraId="37E5CD87">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1、所有价格均用人民币表示。</w:t>
      </w:r>
    </w:p>
    <w:p w14:paraId="4FD38883">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2、分项报价总计价格必须与报价表的报价一致。</w:t>
      </w:r>
    </w:p>
    <w:p w14:paraId="264E973D">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3、如果不提供详细的投标分项报价表将被视为没有实质性响应磋商文件。</w:t>
      </w:r>
    </w:p>
    <w:p w14:paraId="49D40CA1">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4、供应商必须按此表格式中的对应栏目内容填写，可按需增加栏目。</w:t>
      </w:r>
      <w:bookmarkEnd w:id="2"/>
    </w:p>
    <w:p w14:paraId="57172F48">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更正为：</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59"/>
        <w:gridCol w:w="939"/>
        <w:gridCol w:w="1015"/>
        <w:gridCol w:w="1792"/>
        <w:gridCol w:w="1410"/>
      </w:tblGrid>
      <w:tr w14:paraId="6B96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1E7EA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档案门类</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5BF30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433B2C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5B0DD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27E28E3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合价（元）</w:t>
            </w:r>
          </w:p>
        </w:tc>
      </w:tr>
      <w:tr w14:paraId="50F9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383F5D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文书档案</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3D307F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21558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0F92DBA4">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1C96DD53">
            <w:pPr>
              <w:jc w:val="center"/>
              <w:rPr>
                <w:rFonts w:hint="eastAsia" w:ascii="仿宋" w:hAnsi="仿宋" w:eastAsia="仿宋" w:cs="仿宋"/>
                <w:i w:val="0"/>
                <w:iCs w:val="0"/>
                <w:color w:val="000000"/>
                <w:sz w:val="24"/>
                <w:szCs w:val="24"/>
                <w:u w:val="none"/>
              </w:rPr>
            </w:pPr>
          </w:p>
        </w:tc>
      </w:tr>
      <w:tr w14:paraId="5545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18215F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会计档案</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5AED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0755A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08C5A683">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4E43AEC5">
            <w:pPr>
              <w:jc w:val="center"/>
              <w:rPr>
                <w:rFonts w:hint="eastAsia" w:ascii="仿宋" w:hAnsi="仿宋" w:eastAsia="仿宋" w:cs="仿宋"/>
                <w:i w:val="0"/>
                <w:iCs w:val="0"/>
                <w:color w:val="000000"/>
                <w:sz w:val="24"/>
                <w:szCs w:val="24"/>
                <w:u w:val="none"/>
              </w:rPr>
            </w:pPr>
          </w:p>
        </w:tc>
      </w:tr>
      <w:tr w14:paraId="6C88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00B08C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照片档案</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1AA358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61DDFE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2B3B0421">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64CAEF11">
            <w:pPr>
              <w:jc w:val="center"/>
              <w:rPr>
                <w:rFonts w:hint="eastAsia" w:ascii="仿宋" w:hAnsi="仿宋" w:eastAsia="仿宋" w:cs="仿宋"/>
                <w:i w:val="0"/>
                <w:iCs w:val="0"/>
                <w:color w:val="000000"/>
                <w:sz w:val="24"/>
                <w:szCs w:val="24"/>
                <w:u w:val="none"/>
              </w:rPr>
            </w:pPr>
          </w:p>
        </w:tc>
      </w:tr>
      <w:tr w14:paraId="0D10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01C83E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电子档案</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D682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35BF2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3D97E03D">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68899E29">
            <w:pPr>
              <w:jc w:val="center"/>
              <w:rPr>
                <w:rFonts w:hint="eastAsia" w:ascii="仿宋" w:hAnsi="仿宋" w:eastAsia="仿宋" w:cs="仿宋"/>
                <w:i w:val="0"/>
                <w:iCs w:val="0"/>
                <w:color w:val="000000"/>
                <w:sz w:val="24"/>
                <w:szCs w:val="24"/>
                <w:u w:val="none"/>
              </w:rPr>
            </w:pPr>
          </w:p>
        </w:tc>
      </w:tr>
      <w:tr w14:paraId="3A7F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5DE45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专业档案</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1173F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163BCD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7921D963">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1E7FB94B">
            <w:pPr>
              <w:jc w:val="center"/>
              <w:rPr>
                <w:rFonts w:hint="eastAsia" w:ascii="仿宋" w:hAnsi="仿宋" w:eastAsia="仿宋" w:cs="仿宋"/>
                <w:i w:val="0"/>
                <w:iCs w:val="0"/>
                <w:color w:val="000000"/>
                <w:sz w:val="24"/>
                <w:szCs w:val="24"/>
                <w:u w:val="none"/>
              </w:rPr>
            </w:pPr>
          </w:p>
        </w:tc>
      </w:tr>
      <w:tr w14:paraId="28EA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29F73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实物档案</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101943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226719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75477098">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6B0CD9B4">
            <w:pPr>
              <w:jc w:val="center"/>
              <w:rPr>
                <w:rFonts w:hint="eastAsia" w:ascii="仿宋" w:hAnsi="仿宋" w:eastAsia="仿宋" w:cs="仿宋"/>
                <w:i w:val="0"/>
                <w:iCs w:val="0"/>
                <w:color w:val="000000"/>
                <w:sz w:val="24"/>
                <w:szCs w:val="24"/>
                <w:u w:val="none"/>
              </w:rPr>
            </w:pPr>
          </w:p>
        </w:tc>
      </w:tr>
      <w:tr w14:paraId="429D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51FC7E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科技档案</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494FC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2312EB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629D9A06">
            <w:pPr>
              <w:jc w:val="center"/>
              <w:rPr>
                <w:rFonts w:hint="eastAsia" w:ascii="仿宋" w:hAnsi="仿宋" w:eastAsia="仿宋" w:cs="仿宋"/>
                <w:i w:val="0"/>
                <w:iCs w:val="0"/>
                <w:color w:val="000000"/>
                <w:sz w:val="24"/>
                <w:szCs w:val="24"/>
                <w:u w:val="none"/>
              </w:rPr>
            </w:pPr>
            <w:bookmarkStart w:id="3" w:name="_GoBack"/>
            <w:bookmarkEnd w:id="3"/>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7965CA23">
            <w:pPr>
              <w:jc w:val="center"/>
              <w:rPr>
                <w:rFonts w:hint="eastAsia" w:ascii="仿宋" w:hAnsi="仿宋" w:eastAsia="仿宋" w:cs="仿宋"/>
                <w:i w:val="0"/>
                <w:iCs w:val="0"/>
                <w:color w:val="000000"/>
                <w:sz w:val="24"/>
                <w:szCs w:val="24"/>
                <w:u w:val="none"/>
              </w:rPr>
            </w:pPr>
          </w:p>
        </w:tc>
      </w:tr>
      <w:tr w14:paraId="6E09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1D86A8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资料整理(检索目录)</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6766A6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57442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7E08642F">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6ADA9B46">
            <w:pPr>
              <w:jc w:val="center"/>
              <w:rPr>
                <w:rFonts w:hint="eastAsia" w:ascii="仿宋" w:hAnsi="仿宋" w:eastAsia="仿宋" w:cs="仿宋"/>
                <w:i w:val="0"/>
                <w:iCs w:val="0"/>
                <w:color w:val="000000"/>
                <w:sz w:val="24"/>
                <w:szCs w:val="24"/>
                <w:u w:val="none"/>
              </w:rPr>
            </w:pPr>
          </w:p>
        </w:tc>
      </w:tr>
      <w:tr w14:paraId="5931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34B1A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条目录入</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120FAA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1FC5CE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337CDADC">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196D391">
            <w:pPr>
              <w:jc w:val="center"/>
              <w:rPr>
                <w:rFonts w:hint="eastAsia" w:ascii="仿宋" w:hAnsi="仿宋" w:eastAsia="仿宋" w:cs="仿宋"/>
                <w:i w:val="0"/>
                <w:iCs w:val="0"/>
                <w:color w:val="000000"/>
                <w:sz w:val="24"/>
                <w:szCs w:val="24"/>
                <w:u w:val="none"/>
              </w:rPr>
            </w:pPr>
          </w:p>
        </w:tc>
      </w:tr>
      <w:tr w14:paraId="0CA23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0520E9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盒脊打印</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72A369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66A0C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27F8F3F4">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53E32319">
            <w:pPr>
              <w:jc w:val="center"/>
              <w:rPr>
                <w:rFonts w:hint="eastAsia" w:ascii="仿宋" w:hAnsi="仿宋" w:eastAsia="仿宋" w:cs="仿宋"/>
                <w:i w:val="0"/>
                <w:iCs w:val="0"/>
                <w:color w:val="000000"/>
                <w:sz w:val="24"/>
                <w:szCs w:val="24"/>
                <w:u w:val="none"/>
              </w:rPr>
            </w:pPr>
          </w:p>
        </w:tc>
      </w:tr>
      <w:tr w14:paraId="0E2E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3E714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装订装盒</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253316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58958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0ED5724D">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D83FAF5">
            <w:pPr>
              <w:jc w:val="center"/>
              <w:rPr>
                <w:rFonts w:hint="eastAsia" w:ascii="仿宋" w:hAnsi="仿宋" w:eastAsia="仿宋" w:cs="仿宋"/>
                <w:i w:val="0"/>
                <w:iCs w:val="0"/>
                <w:color w:val="000000"/>
                <w:sz w:val="24"/>
                <w:szCs w:val="24"/>
                <w:u w:val="none"/>
              </w:rPr>
            </w:pPr>
          </w:p>
        </w:tc>
      </w:tr>
      <w:tr w14:paraId="39E7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147E57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档案数字化加工(扫描)</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0C5FE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幅</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157FC2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15000</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0E03940E">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09D9A7B1">
            <w:pPr>
              <w:jc w:val="center"/>
              <w:rPr>
                <w:rFonts w:hint="eastAsia" w:ascii="仿宋" w:hAnsi="仿宋" w:eastAsia="仿宋" w:cs="仿宋"/>
                <w:i w:val="0"/>
                <w:iCs w:val="0"/>
                <w:color w:val="000000"/>
                <w:sz w:val="24"/>
                <w:szCs w:val="24"/>
                <w:u w:val="none"/>
              </w:rPr>
            </w:pPr>
          </w:p>
        </w:tc>
      </w:tr>
      <w:tr w14:paraId="1666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72" w:type="pct"/>
            <w:tcBorders>
              <w:top w:val="single" w:color="000000" w:sz="4" w:space="0"/>
              <w:left w:val="single" w:color="000000" w:sz="4" w:space="0"/>
              <w:bottom w:val="single" w:color="000000" w:sz="4" w:space="0"/>
              <w:right w:val="single" w:color="000000" w:sz="4" w:space="0"/>
            </w:tcBorders>
            <w:noWrap w:val="0"/>
            <w:vAlign w:val="center"/>
          </w:tcPr>
          <w:p w14:paraId="0C23B3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完成省一级及复查换证档案综合材料准备</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14:paraId="68C27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596" w:type="pct"/>
            <w:tcBorders>
              <w:top w:val="single" w:color="000000" w:sz="4" w:space="0"/>
              <w:left w:val="single" w:color="000000" w:sz="4" w:space="0"/>
              <w:bottom w:val="single" w:color="000000" w:sz="4" w:space="0"/>
              <w:right w:val="single" w:color="000000" w:sz="4" w:space="0"/>
            </w:tcBorders>
            <w:noWrap w:val="0"/>
            <w:vAlign w:val="center"/>
          </w:tcPr>
          <w:p w14:paraId="36075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51" w:type="pct"/>
            <w:tcBorders>
              <w:top w:val="single" w:color="000000" w:sz="4" w:space="0"/>
              <w:left w:val="single" w:color="000000" w:sz="4" w:space="0"/>
              <w:bottom w:val="single" w:color="000000" w:sz="4" w:space="0"/>
              <w:right w:val="single" w:color="000000" w:sz="4" w:space="0"/>
            </w:tcBorders>
            <w:noWrap w:val="0"/>
            <w:vAlign w:val="center"/>
          </w:tcPr>
          <w:p w14:paraId="3234911F">
            <w:pPr>
              <w:jc w:val="center"/>
              <w:rPr>
                <w:rFonts w:hint="eastAsia" w:ascii="仿宋" w:hAnsi="仿宋" w:eastAsia="仿宋" w:cs="仿宋"/>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475C88FD">
            <w:pPr>
              <w:jc w:val="center"/>
              <w:rPr>
                <w:rFonts w:hint="eastAsia" w:ascii="仿宋" w:hAnsi="仿宋" w:eastAsia="仿宋" w:cs="仿宋"/>
                <w:i w:val="0"/>
                <w:iCs w:val="0"/>
                <w:color w:val="000000"/>
                <w:sz w:val="24"/>
                <w:szCs w:val="24"/>
                <w:u w:val="none"/>
              </w:rPr>
            </w:pPr>
          </w:p>
        </w:tc>
      </w:tr>
      <w:tr w14:paraId="0A05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1" w:type="pct"/>
            <w:gridSpan w:val="4"/>
            <w:tcBorders>
              <w:top w:val="single" w:color="000000" w:sz="4" w:space="0"/>
              <w:left w:val="single" w:color="000000" w:sz="4" w:space="0"/>
              <w:bottom w:val="single" w:color="000000" w:sz="4" w:space="0"/>
              <w:right w:val="single" w:color="000000" w:sz="4" w:space="0"/>
            </w:tcBorders>
            <w:noWrap w:val="0"/>
            <w:vAlign w:val="center"/>
          </w:tcPr>
          <w:p w14:paraId="73433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总计</w:t>
            </w:r>
          </w:p>
        </w:tc>
        <w:tc>
          <w:tcPr>
            <w:tcW w:w="828" w:type="pct"/>
            <w:tcBorders>
              <w:top w:val="single" w:color="000000" w:sz="4" w:space="0"/>
              <w:left w:val="single" w:color="000000" w:sz="4" w:space="0"/>
              <w:bottom w:val="single" w:color="000000" w:sz="4" w:space="0"/>
              <w:right w:val="single" w:color="000000" w:sz="4" w:space="0"/>
            </w:tcBorders>
            <w:noWrap w:val="0"/>
            <w:vAlign w:val="center"/>
          </w:tcPr>
          <w:p w14:paraId="32B3DF85">
            <w:pPr>
              <w:rPr>
                <w:rFonts w:hint="eastAsia" w:ascii="仿宋" w:hAnsi="仿宋" w:eastAsia="仿宋" w:cs="仿宋"/>
                <w:i w:val="0"/>
                <w:iCs w:val="0"/>
                <w:color w:val="000000"/>
                <w:sz w:val="24"/>
                <w:szCs w:val="24"/>
                <w:u w:val="none"/>
              </w:rPr>
            </w:pPr>
          </w:p>
        </w:tc>
      </w:tr>
    </w:tbl>
    <w:p w14:paraId="08E0546B">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说明：</w:t>
      </w:r>
    </w:p>
    <w:p w14:paraId="4B891C2B">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1、所有价格均用人民币表示。</w:t>
      </w:r>
    </w:p>
    <w:p w14:paraId="65B0A5C0">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2、分项报价总计价格必须与报价表的报价一致。</w:t>
      </w:r>
    </w:p>
    <w:p w14:paraId="73D0B07B">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3、如果不提供详细的投标分项报价表将被视为没有实质性响应磋商文件。</w:t>
      </w:r>
    </w:p>
    <w:p w14:paraId="3B3AE80B">
      <w:pPr>
        <w:keepNext w:val="0"/>
        <w:keepLines w:val="0"/>
        <w:pageBreakBefore w:val="0"/>
        <w:widowControl w:val="0"/>
        <w:kinsoku/>
        <w:wordWrap/>
        <w:overflowPunct/>
        <w:topLinePunct w:val="0"/>
        <w:autoSpaceDE/>
        <w:autoSpaceDN/>
        <w:bidi w:val="0"/>
        <w:adjustRightInd w:val="0"/>
        <w:snapToGrid w:val="0"/>
        <w:spacing w:line="360" w:lineRule="auto"/>
        <w:ind w:left="-88" w:leftChars="-42"/>
        <w:textAlignment w:val="auto"/>
        <w:rPr>
          <w:rFonts w:hint="eastAsia" w:ascii="仿宋" w:hAnsi="仿宋" w:eastAsia="仿宋" w:cs="仿宋_GB2312"/>
          <w:color w:val="auto"/>
          <w:sz w:val="24"/>
          <w:szCs w:val="24"/>
        </w:rPr>
      </w:pPr>
      <w:r>
        <w:rPr>
          <w:rFonts w:hint="eastAsia" w:ascii="仿宋" w:hAnsi="仿宋" w:eastAsia="仿宋" w:cs="仿宋_GB2312"/>
          <w:color w:val="auto"/>
          <w:sz w:val="24"/>
          <w:szCs w:val="24"/>
        </w:rPr>
        <w:t>4、供应商必须按此表格式中的对应栏目内容填写。</w:t>
      </w:r>
    </w:p>
    <w:p w14:paraId="2E75CF44">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仿宋" w:hAnsi="仿宋" w:eastAsia="仿宋" w:cs="仿宋"/>
          <w:sz w:val="24"/>
          <w:szCs w:val="24"/>
          <w:lang w:val="en-US" w:eastAsia="zh-CN"/>
        </w:rPr>
      </w:pPr>
    </w:p>
    <w:p w14:paraId="09BE7291">
      <w:pPr>
        <w:keepNext w:val="0"/>
        <w:keepLines w:val="0"/>
        <w:pageBreakBefore w:val="0"/>
        <w:widowControl w:val="0"/>
        <w:kinsoku/>
        <w:wordWrap/>
        <w:overflowPunct/>
        <w:topLinePunct w:val="0"/>
        <w:autoSpaceDE/>
        <w:autoSpaceDN/>
        <w:bidi w:val="0"/>
        <w:snapToGrid w:val="0"/>
        <w:spacing w:line="360" w:lineRule="auto"/>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7、其他内容不变</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573"/>
        </w:tabs>
        <w:ind w:left="573" w:hanging="420"/>
      </w:pPr>
    </w:lvl>
    <w:lvl w:ilvl="2" w:tentative="0">
      <w:start w:val="1"/>
      <w:numFmt w:val="lowerRoman"/>
      <w:lvlText w:val="%3."/>
      <w:lvlJc w:val="right"/>
      <w:pPr>
        <w:tabs>
          <w:tab w:val="left" w:pos="993"/>
        </w:tabs>
        <w:ind w:left="993" w:hanging="420"/>
      </w:pPr>
    </w:lvl>
    <w:lvl w:ilvl="3" w:tentative="0">
      <w:start w:val="1"/>
      <w:numFmt w:val="decimal"/>
      <w:lvlText w:val="%4."/>
      <w:lvlJc w:val="left"/>
      <w:pPr>
        <w:tabs>
          <w:tab w:val="left" w:pos="1413"/>
        </w:tabs>
        <w:ind w:left="1413" w:hanging="420"/>
      </w:pPr>
    </w:lvl>
    <w:lvl w:ilvl="4" w:tentative="0">
      <w:start w:val="1"/>
      <w:numFmt w:val="lowerLetter"/>
      <w:lvlText w:val="%5)"/>
      <w:lvlJc w:val="left"/>
      <w:pPr>
        <w:tabs>
          <w:tab w:val="left" w:pos="1833"/>
        </w:tabs>
        <w:ind w:left="1833" w:hanging="420"/>
      </w:pPr>
    </w:lvl>
    <w:lvl w:ilvl="5" w:tentative="0">
      <w:start w:val="1"/>
      <w:numFmt w:val="lowerRoman"/>
      <w:lvlText w:val="%6."/>
      <w:lvlJc w:val="right"/>
      <w:pPr>
        <w:tabs>
          <w:tab w:val="left" w:pos="2253"/>
        </w:tabs>
        <w:ind w:left="2253" w:hanging="420"/>
      </w:pPr>
    </w:lvl>
    <w:lvl w:ilvl="6" w:tentative="0">
      <w:start w:val="1"/>
      <w:numFmt w:val="decimal"/>
      <w:lvlText w:val="%7."/>
      <w:lvlJc w:val="left"/>
      <w:pPr>
        <w:tabs>
          <w:tab w:val="left" w:pos="2673"/>
        </w:tabs>
        <w:ind w:left="2673" w:hanging="420"/>
      </w:pPr>
    </w:lvl>
    <w:lvl w:ilvl="7" w:tentative="0">
      <w:start w:val="1"/>
      <w:numFmt w:val="lowerLetter"/>
      <w:lvlText w:val="%8)"/>
      <w:lvlJc w:val="left"/>
      <w:pPr>
        <w:tabs>
          <w:tab w:val="left" w:pos="3093"/>
        </w:tabs>
        <w:ind w:left="3093" w:hanging="420"/>
      </w:pPr>
    </w:lvl>
    <w:lvl w:ilvl="8" w:tentative="0">
      <w:start w:val="1"/>
      <w:numFmt w:val="lowerRoman"/>
      <w:lvlText w:val="%9."/>
      <w:lvlJc w:val="right"/>
      <w:pPr>
        <w:tabs>
          <w:tab w:val="left" w:pos="3513"/>
        </w:tabs>
        <w:ind w:left="351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C400C"/>
    <w:rsid w:val="199E2279"/>
    <w:rsid w:val="1AC1059E"/>
    <w:rsid w:val="2BF448B1"/>
    <w:rsid w:val="3EBF7C5B"/>
    <w:rsid w:val="414D59F2"/>
    <w:rsid w:val="4ECC6634"/>
    <w:rsid w:val="501507F4"/>
    <w:rsid w:val="5AF97A31"/>
    <w:rsid w:val="7A8678F9"/>
    <w:rsid w:val="7E9F26E2"/>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tLeast"/>
      <w:jc w:val="center"/>
      <w:outlineLvl w:val="0"/>
    </w:pPr>
    <w:rPr>
      <w:rFonts w:ascii="宋体"/>
      <w:b/>
      <w:kern w:val="0"/>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1025</Words>
  <Characters>1149</Characters>
  <Lines>0</Lines>
  <Paragraphs>0</Paragraphs>
  <TotalTime>3</TotalTime>
  <ScaleCrop>false</ScaleCrop>
  <LinksUpToDate>false</LinksUpToDate>
  <CharactersWithSpaces>1423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2024-08-06T03:09:00Z</dcterms:created>
  <dc:creator>admin</dc:creator>
  <cp:lastModifiedBy>湖北中联太</cp:lastModifiedBy>
  <dcterms:modified xsi:type="dcterms:W3CDTF">2026-06-24T08:03:34Z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F0925452078C4E58941340ACE925441F_12</vt:lpwstr>
  </property>
  <property fmtid="{D5CDD505-2E9C-101B-9397-08002B2CF9AE}" pid="4" name="KSOTemplateDocerSaveRecord">
    <vt:lpwstr>eyJoZGlkIjoiMGQ4ZTVhZGUwNDNkZjQxNWMyNDAzODVhODZiZWRlM2MiLCJ1c2VySWQiOiIyNDMyMzcyMzkifQ==</vt:lpwstr>
  </property>
</Properties>
</file>